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auto"/>
        <w:contextualSpacing/>
        <w:jc w:val="both"/>
        <w:rPr>
          <w:rFonts w:ascii="黑体" w:eastAsia="黑体" w:hAnsiTheme="majorEastAsia"/>
          <w:bCs/>
          <w:sz w:val="44"/>
          <w:szCs w:val="44"/>
        </w:rPr>
      </w:pPr>
      <w:r>
        <w:rPr>
          <w:rFonts w:hint="eastAsia" w:ascii="黑体" w:eastAsia="黑体" w:hAnsiTheme="majorEastAsia"/>
          <w:bCs/>
          <w:sz w:val="44"/>
          <w:szCs w:val="44"/>
        </w:rPr>
        <w:t>华鼎股份（优秀上市公司）</w:t>
      </w:r>
      <w:bookmarkStart w:id="0" w:name="_GoBack"/>
      <w:bookmarkEnd w:id="0"/>
      <w:r>
        <w:rPr>
          <w:rFonts w:hint="eastAsia" w:ascii="黑体" w:eastAsia="黑体" w:hAnsiTheme="majorEastAsia"/>
          <w:bCs/>
          <w:sz w:val="44"/>
          <w:szCs w:val="44"/>
        </w:rPr>
        <w:t>201</w:t>
      </w:r>
      <w:r>
        <w:rPr>
          <w:rFonts w:ascii="黑体" w:eastAsia="黑体" w:hAnsiTheme="majorEastAsia"/>
          <w:bCs/>
          <w:sz w:val="44"/>
          <w:szCs w:val="44"/>
        </w:rPr>
        <w:t>8</w:t>
      </w:r>
      <w:r>
        <w:rPr>
          <w:rFonts w:hint="eastAsia" w:ascii="黑体" w:eastAsia="黑体" w:hAnsiTheme="majorEastAsia"/>
          <w:bCs/>
          <w:sz w:val="44"/>
          <w:szCs w:val="44"/>
        </w:rPr>
        <w:t>校园招聘简章</w:t>
      </w:r>
    </w:p>
    <w:p>
      <w:pPr>
        <w:spacing w:line="500" w:lineRule="exact"/>
        <w:rPr>
          <w:rFonts w:ascii="微软雅黑" w:hAnsi="微软雅黑" w:eastAsia="微软雅黑"/>
          <w:b/>
          <w:color w:val="000000" w:themeColor="text1"/>
          <w:sz w:val="36"/>
          <w:szCs w:val="36"/>
        </w:rPr>
      </w:pPr>
      <w:r>
        <w:rPr>
          <w:rFonts w:hint="eastAsia" w:ascii="微软雅黑" w:hAnsi="微软雅黑" w:eastAsia="微软雅黑"/>
          <w:b/>
          <w:color w:val="000000" w:themeColor="text1"/>
          <w:sz w:val="36"/>
          <w:szCs w:val="36"/>
        </w:rPr>
        <w:t>一、企业简介</w:t>
      </w:r>
    </w:p>
    <w:p>
      <w:pPr>
        <w:spacing w:line="5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●优秀上市公司（证券代码601113）</w:t>
      </w:r>
    </w:p>
    <w:p>
      <w:pPr>
        <w:spacing w:line="5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●中国民营企业500强</w:t>
      </w:r>
    </w:p>
    <w:p>
      <w:pPr>
        <w:spacing w:line="5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●浙江民企100强</w:t>
      </w:r>
    </w:p>
    <w:p>
      <w:pPr>
        <w:spacing w:line="5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●义乌工业企业50强排名第一</w:t>
      </w:r>
    </w:p>
    <w:p>
      <w:pPr>
        <w:spacing w:line="5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●锦纶行业前三甲</w:t>
      </w:r>
    </w:p>
    <w:p>
      <w:pPr>
        <w:spacing w:line="500" w:lineRule="exact"/>
        <w:rPr>
          <w:rFonts w:asciiTheme="minorEastAsia" w:hAnsiTheme="minorEastAsia" w:cstheme="minorEastAsia"/>
          <w:b/>
          <w:sz w:val="28"/>
          <w:szCs w:val="28"/>
        </w:rPr>
      </w:pPr>
      <w:r>
        <w:rPr>
          <w:rFonts w:hint="eastAsia" w:asciiTheme="minorEastAsia" w:hAnsiTheme="minorEastAsia" w:cstheme="minorEastAsia"/>
          <w:b/>
          <w:sz w:val="28"/>
          <w:szCs w:val="28"/>
        </w:rPr>
        <w:t>●全国最大的差别化民用锦纶长丝生产基地</w:t>
      </w:r>
    </w:p>
    <w:p>
      <w:pPr>
        <w:spacing w:line="500" w:lineRule="exact"/>
        <w:ind w:firstLine="560" w:firstLineChars="2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义乌华鼎锦纶股份有限公司坐落在举世闻名的中国小商品城----义乌。公司始创于2002年，公司注册8.3亿元，专业从事高品质、差别化民用锦纶长丝研发、生产和销售，产品主要应用于大型、高端服装面料、无缝内衣、针织服饰、袜子等行业。公司于2011年在上海证券交易所成功上市（股票简称：华鼎股份，股票代码：601113）。公司引进国外全套先进纺丝、加弹设备和最新检验检测仪器，主要生产具备高织造稳定性与染色均匀性的POY、HOY、FDY、DTY四大类民用锦纶长丝，产品畅销全国并出口欧美、东南亚、中东等地区。</w:t>
      </w:r>
    </w:p>
    <w:p>
      <w:pPr>
        <w:spacing w:line="480" w:lineRule="exact"/>
        <w:ind w:firstLine="560" w:firstLineChars="200"/>
        <w:rPr>
          <w:rFonts w:asciiTheme="minorEastAsia" w:hAnsiTheme="minorEastAsia" w:cstheme="minorEastAsia"/>
          <w:color w:val="000000" w:themeColor="text1"/>
          <w:sz w:val="28"/>
          <w:szCs w:val="28"/>
        </w:rPr>
      </w:pPr>
      <w:r>
        <w:rPr>
          <w:rFonts w:hint="eastAsia" w:asciiTheme="minorEastAsia" w:hAnsiTheme="minorEastAsia" w:cstheme="minorEastAsia"/>
          <w:color w:val="000000" w:themeColor="text1"/>
          <w:sz w:val="28"/>
          <w:szCs w:val="28"/>
        </w:rPr>
        <w:t>千年古城的文化底蕴和信息化社会的现代文明，孕育并铸就了华鼎人“引领行业，服务全球，鼎立世界”伟大愿景和“成就人、造福人”的伟大梦想。</w:t>
      </w:r>
    </w:p>
    <w:p>
      <w:pPr>
        <w:pStyle w:val="4"/>
        <w:numPr>
          <w:ilvl w:val="0"/>
          <w:numId w:val="1"/>
        </w:numPr>
        <w:shd w:val="clear" w:color="auto" w:fill="FFFFFF"/>
        <w:spacing w:before="0" w:beforeAutospacing="0" w:after="0" w:afterAutospacing="0" w:line="375" w:lineRule="atLeast"/>
        <w:rPr>
          <w:rStyle w:val="6"/>
          <w:rFonts w:ascii="微软雅黑" w:hAnsi="微软雅黑" w:eastAsia="微软雅黑"/>
          <w:color w:val="000000" w:themeColor="text1"/>
          <w:sz w:val="36"/>
          <w:szCs w:val="36"/>
        </w:rPr>
      </w:pPr>
      <w:r>
        <w:rPr>
          <w:rStyle w:val="6"/>
          <w:rFonts w:hint="eastAsia" w:ascii="微软雅黑" w:hAnsi="微软雅黑" w:eastAsia="微软雅黑"/>
          <w:color w:val="000000" w:themeColor="text1"/>
          <w:sz w:val="36"/>
          <w:szCs w:val="36"/>
        </w:rPr>
        <w:t>福利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75" w:lineRule="atLeast"/>
        <w:rPr>
          <w:rStyle w:val="6"/>
          <w:rFonts w:asciiTheme="minorEastAsia" w:hAnsiTheme="minorEastAsia" w:eastAsiaTheme="minorEastAsia" w:cstheme="minorEastAsia"/>
          <w:b w:val="0"/>
          <w:bCs w:val="0"/>
          <w:sz w:val="28"/>
          <w:szCs w:val="28"/>
        </w:rPr>
      </w:pP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在公司交满社保两年可向义乌市政府申请住房补贴，本科30万，硕士40万元。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75" w:lineRule="atLeast"/>
        <w:rPr>
          <w:rStyle w:val="6"/>
          <w:rFonts w:asciiTheme="minorEastAsia" w:hAnsiTheme="minorEastAsia" w:eastAsiaTheme="minorEastAsia" w:cstheme="minorEastAsia"/>
        </w:rPr>
      </w:pPr>
      <w:r>
        <w:rPr>
          <w:rStyle w:val="6"/>
          <w:rFonts w:asciiTheme="minorEastAsia" w:hAnsiTheme="minorEastAsia" w:eastAsiaTheme="minorEastAsia" w:cstheme="minorEastAsia"/>
          <w:b w:val="0"/>
          <w:bCs w:val="0"/>
          <w:sz w:val="28"/>
          <w:szCs w:val="28"/>
        </w:rPr>
        <w:t>入职后公司统一申请向政府申请大学生补助</w:t>
      </w: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300元/月，发两年。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75" w:lineRule="atLeast"/>
        <w:rPr>
          <w:rStyle w:val="6"/>
          <w:rFonts w:asciiTheme="minorEastAsia" w:hAnsiTheme="minorEastAsia" w:eastAsiaTheme="minorEastAsia" w:cstheme="minorEastAsia"/>
        </w:rPr>
      </w:pPr>
      <w:r>
        <w:rPr>
          <w:rStyle w:val="6"/>
          <w:rFonts w:asciiTheme="minorEastAsia" w:hAnsiTheme="minorEastAsia" w:eastAsiaTheme="minorEastAsia" w:cstheme="minorEastAsia"/>
          <w:b w:val="0"/>
          <w:bCs w:val="0"/>
          <w:sz w:val="28"/>
          <w:szCs w:val="28"/>
        </w:rPr>
        <w:t>技术岗工作满一年可以申请评助理工程师</w:t>
      </w: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。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75" w:lineRule="atLeast"/>
        <w:rPr>
          <w:rStyle w:val="6"/>
          <w:rFonts w:asciiTheme="minorEastAsia" w:hAnsiTheme="minorEastAsia" w:eastAsiaTheme="minorEastAsia" w:cstheme="minorEastAsia"/>
        </w:rPr>
      </w:pPr>
      <w:r>
        <w:rPr>
          <w:rStyle w:val="6"/>
          <w:rFonts w:asciiTheme="minorEastAsia" w:hAnsiTheme="minorEastAsia" w:eastAsiaTheme="minorEastAsia" w:cstheme="minorEastAsia"/>
          <w:b w:val="0"/>
          <w:bCs w:val="0"/>
          <w:sz w:val="28"/>
          <w:szCs w:val="28"/>
        </w:rPr>
        <w:t>免费提供二人间标配住宿</w:t>
      </w: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。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75" w:lineRule="atLeast"/>
        <w:rPr>
          <w:rStyle w:val="6"/>
          <w:rFonts w:asciiTheme="minorEastAsia" w:hAnsiTheme="minorEastAsia" w:eastAsiaTheme="minorEastAsia" w:cstheme="minorEastAsia"/>
        </w:rPr>
      </w:pPr>
      <w:r>
        <w:rPr>
          <w:rStyle w:val="6"/>
          <w:rFonts w:asciiTheme="minorEastAsia" w:hAnsiTheme="minorEastAsia" w:eastAsiaTheme="minorEastAsia" w:cstheme="minorEastAsia"/>
          <w:b w:val="0"/>
          <w:bCs w:val="0"/>
          <w:sz w:val="28"/>
          <w:szCs w:val="28"/>
        </w:rPr>
        <w:t>提供羽毛球场</w:t>
      </w: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、</w:t>
      </w:r>
      <w:r>
        <w:rPr>
          <w:rStyle w:val="6"/>
          <w:rFonts w:asciiTheme="minorEastAsia" w:hAnsiTheme="minorEastAsia" w:eastAsiaTheme="minorEastAsia" w:cstheme="minorEastAsia"/>
          <w:b w:val="0"/>
          <w:bCs w:val="0"/>
          <w:sz w:val="28"/>
          <w:szCs w:val="28"/>
        </w:rPr>
        <w:t>篮球场</w:t>
      </w: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、乒乓球室、阅览室、放映厅、K歌台</w:t>
      </w:r>
    </w:p>
    <w:p>
      <w:pPr>
        <w:pStyle w:val="4"/>
        <w:numPr>
          <w:ilvl w:val="0"/>
          <w:numId w:val="2"/>
        </w:numPr>
        <w:shd w:val="clear" w:color="auto" w:fill="FFFFFF"/>
        <w:spacing w:before="0" w:beforeAutospacing="0" w:after="0" w:afterAutospacing="0" w:line="375" w:lineRule="atLeast"/>
        <w:rPr>
          <w:rFonts w:asciiTheme="minorEastAsia" w:hAnsiTheme="minorEastAsia" w:eastAsiaTheme="minorEastAsia" w:cstheme="minorEastAsia"/>
          <w:b/>
          <w:bCs/>
        </w:rPr>
      </w:pPr>
      <w:r>
        <w:rPr>
          <w:rStyle w:val="6"/>
          <w:rFonts w:asciiTheme="minorEastAsia" w:hAnsiTheme="minorEastAsia" w:eastAsiaTheme="minorEastAsia" w:cstheme="minorEastAsia"/>
          <w:b w:val="0"/>
          <w:bCs w:val="0"/>
          <w:sz w:val="28"/>
          <w:szCs w:val="28"/>
        </w:rPr>
        <w:t>员工培训</w:t>
      </w: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、</w:t>
      </w:r>
      <w:r>
        <w:rPr>
          <w:rStyle w:val="6"/>
          <w:rFonts w:asciiTheme="minorEastAsia" w:hAnsiTheme="minorEastAsia" w:eastAsiaTheme="minorEastAsia" w:cstheme="minorEastAsia"/>
          <w:b w:val="0"/>
          <w:bCs w:val="0"/>
          <w:sz w:val="28"/>
          <w:szCs w:val="28"/>
        </w:rPr>
        <w:t>体检</w:t>
      </w: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、</w:t>
      </w:r>
      <w:r>
        <w:rPr>
          <w:rStyle w:val="6"/>
          <w:rFonts w:asciiTheme="minorEastAsia" w:hAnsiTheme="minorEastAsia" w:eastAsiaTheme="minorEastAsia" w:cstheme="minorEastAsia"/>
          <w:b w:val="0"/>
          <w:bCs w:val="0"/>
          <w:sz w:val="28"/>
          <w:szCs w:val="28"/>
        </w:rPr>
        <w:t>职工春晚</w:t>
      </w:r>
      <w:r>
        <w:rPr>
          <w:rStyle w:val="6"/>
          <w:rFonts w:hint="eastAsia" w:asciiTheme="minorEastAsia" w:hAnsiTheme="minorEastAsia" w:eastAsiaTheme="minorEastAsia" w:cstheme="minorEastAsia"/>
          <w:b w:val="0"/>
          <w:bCs w:val="0"/>
          <w:sz w:val="28"/>
          <w:szCs w:val="28"/>
        </w:rPr>
        <w:t>、职工社团、节日活动。</w:t>
      </w:r>
    </w:p>
    <w:p>
      <w:pPr>
        <w:snapToGrid w:val="0"/>
        <w:spacing w:line="360" w:lineRule="auto"/>
        <w:contextualSpacing/>
        <w:rPr>
          <w:rFonts w:ascii="微软雅黑" w:hAnsi="微软雅黑" w:eastAsia="微软雅黑"/>
          <w:b/>
          <w:color w:val="000000" w:themeColor="text1"/>
          <w:sz w:val="36"/>
          <w:szCs w:val="36"/>
        </w:rPr>
      </w:pPr>
      <w:r>
        <w:rPr>
          <w:rFonts w:hint="eastAsia" w:ascii="微软雅黑" w:hAnsi="微软雅黑" w:eastAsia="微软雅黑"/>
          <w:b/>
          <w:color w:val="000000" w:themeColor="text1"/>
          <w:sz w:val="36"/>
          <w:szCs w:val="36"/>
        </w:rPr>
        <w:t>三、招聘需求</w:t>
      </w:r>
    </w:p>
    <w:tbl>
      <w:tblPr>
        <w:tblStyle w:val="8"/>
        <w:tblW w:w="10540" w:type="dxa"/>
        <w:tblInd w:w="-74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4"/>
        <w:gridCol w:w="3001"/>
        <w:gridCol w:w="1134"/>
        <w:gridCol w:w="1293"/>
        <w:gridCol w:w="454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NO</w:t>
            </w:r>
          </w:p>
        </w:tc>
        <w:tc>
          <w:tcPr>
            <w:tcW w:w="3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培养岗位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计划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数量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学历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要求</w:t>
            </w:r>
          </w:p>
        </w:tc>
        <w:tc>
          <w:tcPr>
            <w:tcW w:w="4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专业要求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实习研发技术员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硕士</w:t>
            </w:r>
          </w:p>
        </w:tc>
        <w:tc>
          <w:tcPr>
            <w:tcW w:w="4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高分子、化学相关专业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实习工艺技术员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50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本科</w:t>
            </w:r>
          </w:p>
        </w:tc>
        <w:tc>
          <w:tcPr>
            <w:tcW w:w="4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高分子、化学、化工相关专业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3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实习设备管理员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30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本科</w:t>
            </w:r>
          </w:p>
        </w:tc>
        <w:tc>
          <w:tcPr>
            <w:tcW w:w="4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电气、机械、自动化相关专业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3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实习品质管理员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本科</w:t>
            </w:r>
          </w:p>
        </w:tc>
        <w:tc>
          <w:tcPr>
            <w:tcW w:w="4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化工、纺织相关专业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3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会计、仓储管理员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本科</w:t>
            </w:r>
          </w:p>
        </w:tc>
        <w:tc>
          <w:tcPr>
            <w:tcW w:w="4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财务、会计、物流管理专业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3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销售专员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本科</w:t>
            </w:r>
          </w:p>
        </w:tc>
        <w:tc>
          <w:tcPr>
            <w:tcW w:w="4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市场营销、外贸相关专业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3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人事专员、行政专员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本硕</w:t>
            </w:r>
          </w:p>
        </w:tc>
        <w:tc>
          <w:tcPr>
            <w:tcW w:w="4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人力资源管理、工商管理专业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6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300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建筑、金融、审计、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秘书、企管</w:t>
            </w:r>
          </w:p>
        </w:tc>
        <w:tc>
          <w:tcPr>
            <w:tcW w:w="113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12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本硕</w:t>
            </w:r>
          </w:p>
        </w:tc>
        <w:tc>
          <w:tcPr>
            <w:tcW w:w="4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jc w:val="center"/>
              <w:rPr>
                <w:rFonts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建筑、土木、金融、审计、</w:t>
            </w:r>
          </w:p>
          <w:p>
            <w:pPr>
              <w:widowControl/>
              <w:jc w:val="center"/>
              <w:rPr>
                <w:rFonts w:cs="Arial" w:asciiTheme="majorEastAsia" w:hAnsiTheme="majorEastAsia" w:eastAsiaTheme="majorEastAsia"/>
                <w:kern w:val="0"/>
                <w:sz w:val="28"/>
                <w:szCs w:val="28"/>
              </w:rPr>
            </w:pPr>
            <w:r>
              <w:rPr>
                <w:rFonts w:hint="eastAsia" w:cs="Times New Roman" w:asciiTheme="majorEastAsia" w:hAnsiTheme="majorEastAsia" w:eastAsiaTheme="majorEastAsia"/>
                <w:color w:val="000000" w:themeColor="text1"/>
                <w:sz w:val="28"/>
                <w:szCs w:val="28"/>
              </w:rPr>
              <w:t>文秘、企管专业</w:t>
            </w:r>
          </w:p>
        </w:tc>
      </w:tr>
    </w:tbl>
    <w:p>
      <w:pPr>
        <w:pStyle w:val="4"/>
        <w:shd w:val="clear" w:color="auto" w:fill="FFFFFF"/>
        <w:spacing w:before="0" w:beforeAutospacing="0" w:after="0" w:afterAutospacing="0" w:line="375" w:lineRule="atLeast"/>
        <w:rPr>
          <w:rStyle w:val="6"/>
          <w:rFonts w:ascii="微软雅黑" w:hAnsi="微软雅黑" w:eastAsia="微软雅黑"/>
          <w:b w:val="0"/>
          <w:bCs w:val="0"/>
          <w:sz w:val="28"/>
          <w:szCs w:val="28"/>
        </w:rPr>
      </w:pP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rStyle w:val="6"/>
          <w:rFonts w:ascii="微软雅黑" w:hAnsi="微软雅黑" w:eastAsia="微软雅黑"/>
          <w:color w:val="000000" w:themeColor="text1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kern w:val="2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3533775</wp:posOffset>
            </wp:positionH>
            <wp:positionV relativeFrom="paragraph">
              <wp:posOffset>260985</wp:posOffset>
            </wp:positionV>
            <wp:extent cx="2707640" cy="1459865"/>
            <wp:effectExtent l="0" t="0" r="16510" b="6985"/>
            <wp:wrapNone/>
            <wp:docPr id="7" name="图片 7" descr="150631947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506319474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07640" cy="14598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Style w:val="6"/>
          <w:rFonts w:hint="eastAsia" w:ascii="微软雅黑" w:hAnsi="微软雅黑" w:eastAsia="微软雅黑"/>
          <w:color w:val="000000" w:themeColor="text1"/>
          <w:sz w:val="36"/>
          <w:szCs w:val="36"/>
        </w:rPr>
        <w:t>四、联系方式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rPr>
          <w:rFonts w:hint="eastAsia" w:asciiTheme="majorEastAsia" w:hAnsiTheme="majorEastAsia" w:eastAsiaTheme="majorEastAsia" w:cstheme="minorBidi"/>
          <w:kern w:val="2"/>
          <w:sz w:val="28"/>
          <w:szCs w:val="28"/>
        </w:rPr>
        <w:t>联系人：徐威洋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rPr>
          <w:rFonts w:hint="eastAsia" w:asciiTheme="majorEastAsia" w:hAnsiTheme="majorEastAsia" w:eastAsiaTheme="majorEastAsia" w:cstheme="minorBidi"/>
          <w:kern w:val="2"/>
          <w:sz w:val="28"/>
          <w:szCs w:val="28"/>
        </w:rPr>
        <w:t>联系方式：</w:t>
      </w:r>
      <w:r>
        <w:rPr>
          <w:rFonts w:asciiTheme="majorEastAsia" w:hAnsiTheme="majorEastAsia" w:eastAsiaTheme="majorEastAsia" w:cstheme="minorBidi"/>
          <w:kern w:val="2"/>
          <w:sz w:val="28"/>
          <w:szCs w:val="28"/>
        </w:rPr>
        <w:t>0579-85261090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rFonts w:asciiTheme="majorEastAsia" w:hAnsiTheme="majorEastAsia" w:eastAsiaTheme="majorEastAsia" w:cstheme="minorBidi"/>
          <w:kern w:val="2"/>
          <w:sz w:val="28"/>
          <w:szCs w:val="28"/>
        </w:rPr>
      </w:pPr>
      <w:r>
        <w:rPr>
          <w:rFonts w:hint="eastAsia" w:asciiTheme="majorEastAsia" w:hAnsiTheme="majorEastAsia" w:eastAsiaTheme="majorEastAsia" w:cstheme="minorBidi"/>
          <w:kern w:val="2"/>
          <w:sz w:val="28"/>
          <w:szCs w:val="28"/>
        </w:rPr>
        <w:t>电子邮箱：hrcr@hdnylon.com</w:t>
      </w:r>
    </w:p>
    <w:p>
      <w:pPr>
        <w:pStyle w:val="4"/>
        <w:shd w:val="clear" w:color="auto" w:fill="FFFFFF"/>
        <w:spacing w:before="0" w:beforeAutospacing="0" w:after="0" w:afterAutospacing="0" w:line="375" w:lineRule="atLeast"/>
        <w:rPr>
          <w:rFonts w:eastAsia="仿宋_GB2312" w:asciiTheme="minorHAnsi" w:hAnsiTheme="minorHAnsi" w:cstheme="minorBidi"/>
          <w:kern w:val="2"/>
          <w:sz w:val="28"/>
          <w:szCs w:val="28"/>
        </w:rPr>
      </w:pPr>
      <w:r>
        <w:rPr>
          <w:rFonts w:hint="eastAsia" w:asciiTheme="majorEastAsia" w:hAnsiTheme="majorEastAsia" w:eastAsiaTheme="majorEastAsia" w:cstheme="minorBidi"/>
          <w:kern w:val="2"/>
          <w:sz w:val="28"/>
          <w:szCs w:val="28"/>
        </w:rPr>
        <w:t xml:space="preserve">公司地址：义乌市北苑街道雪峰西路751号    </w:t>
      </w:r>
      <w:r>
        <w:rPr>
          <w:rFonts w:hint="eastAsia" w:eastAsia="仿宋_GB2312" w:asciiTheme="minorHAnsi" w:hAnsiTheme="minorHAnsi" w:cstheme="minorBidi"/>
          <w:kern w:val="2"/>
          <w:sz w:val="28"/>
          <w:szCs w:val="28"/>
        </w:rPr>
        <w:t xml:space="preserve">          </w:t>
      </w:r>
    </w:p>
    <w:sectPr>
      <w:head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2573E"/>
    <w:multiLevelType w:val="multilevel"/>
    <w:tmpl w:val="2162573E"/>
    <w:lvl w:ilvl="0" w:tentative="0">
      <w:start w:val="1"/>
      <w:numFmt w:val="decimal"/>
      <w:lvlText w:val="%1、"/>
      <w:lvlJc w:val="left"/>
      <w:pPr>
        <w:ind w:left="10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140" w:hanging="420"/>
      </w:pPr>
    </w:lvl>
    <w:lvl w:ilvl="2" w:tentative="0">
      <w:start w:val="1"/>
      <w:numFmt w:val="lowerRoman"/>
      <w:lvlText w:val="%3."/>
      <w:lvlJc w:val="right"/>
      <w:pPr>
        <w:ind w:left="1560" w:hanging="420"/>
      </w:pPr>
    </w:lvl>
    <w:lvl w:ilvl="3" w:tentative="0">
      <w:start w:val="1"/>
      <w:numFmt w:val="decimal"/>
      <w:lvlText w:val="%4."/>
      <w:lvlJc w:val="left"/>
      <w:pPr>
        <w:ind w:left="1980" w:hanging="420"/>
      </w:pPr>
    </w:lvl>
    <w:lvl w:ilvl="4" w:tentative="0">
      <w:start w:val="1"/>
      <w:numFmt w:val="lowerLetter"/>
      <w:lvlText w:val="%5)"/>
      <w:lvlJc w:val="left"/>
      <w:pPr>
        <w:ind w:left="2400" w:hanging="420"/>
      </w:pPr>
    </w:lvl>
    <w:lvl w:ilvl="5" w:tentative="0">
      <w:start w:val="1"/>
      <w:numFmt w:val="lowerRoman"/>
      <w:lvlText w:val="%6."/>
      <w:lvlJc w:val="right"/>
      <w:pPr>
        <w:ind w:left="2820" w:hanging="420"/>
      </w:pPr>
    </w:lvl>
    <w:lvl w:ilvl="6" w:tentative="0">
      <w:start w:val="1"/>
      <w:numFmt w:val="decimal"/>
      <w:lvlText w:val="%7."/>
      <w:lvlJc w:val="left"/>
      <w:pPr>
        <w:ind w:left="3240" w:hanging="420"/>
      </w:pPr>
    </w:lvl>
    <w:lvl w:ilvl="7" w:tentative="0">
      <w:start w:val="1"/>
      <w:numFmt w:val="lowerLetter"/>
      <w:lvlText w:val="%8)"/>
      <w:lvlJc w:val="left"/>
      <w:pPr>
        <w:ind w:left="3660" w:hanging="420"/>
      </w:pPr>
    </w:lvl>
    <w:lvl w:ilvl="8" w:tentative="0">
      <w:start w:val="1"/>
      <w:numFmt w:val="lowerRoman"/>
      <w:lvlText w:val="%9."/>
      <w:lvlJc w:val="right"/>
      <w:pPr>
        <w:ind w:left="4080" w:hanging="420"/>
      </w:pPr>
    </w:lvl>
  </w:abstractNum>
  <w:abstractNum w:abstractNumId="1">
    <w:nsid w:val="43EC0092"/>
    <w:multiLevelType w:val="multilevel"/>
    <w:tmpl w:val="43EC0092"/>
    <w:lvl w:ilvl="0" w:tentative="0">
      <w:start w:val="2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6335"/>
    <w:rsid w:val="0003172D"/>
    <w:rsid w:val="000428EC"/>
    <w:rsid w:val="00076796"/>
    <w:rsid w:val="000B3130"/>
    <w:rsid w:val="000B7826"/>
    <w:rsid w:val="000C6B89"/>
    <w:rsid w:val="000E7884"/>
    <w:rsid w:val="00142777"/>
    <w:rsid w:val="00144923"/>
    <w:rsid w:val="00174F38"/>
    <w:rsid w:val="00193936"/>
    <w:rsid w:val="001A165F"/>
    <w:rsid w:val="001A63F1"/>
    <w:rsid w:val="001B520E"/>
    <w:rsid w:val="001B6426"/>
    <w:rsid w:val="001C0124"/>
    <w:rsid w:val="001E398C"/>
    <w:rsid w:val="001E50DB"/>
    <w:rsid w:val="0021434B"/>
    <w:rsid w:val="00230680"/>
    <w:rsid w:val="00233324"/>
    <w:rsid w:val="0027530B"/>
    <w:rsid w:val="0029055E"/>
    <w:rsid w:val="0029216E"/>
    <w:rsid w:val="002922A2"/>
    <w:rsid w:val="002B03A5"/>
    <w:rsid w:val="002C1076"/>
    <w:rsid w:val="002C59E8"/>
    <w:rsid w:val="002D279D"/>
    <w:rsid w:val="002E40E0"/>
    <w:rsid w:val="002F4F12"/>
    <w:rsid w:val="002F77F0"/>
    <w:rsid w:val="00313642"/>
    <w:rsid w:val="00330541"/>
    <w:rsid w:val="003327F4"/>
    <w:rsid w:val="00334FFB"/>
    <w:rsid w:val="00346555"/>
    <w:rsid w:val="00361296"/>
    <w:rsid w:val="00381365"/>
    <w:rsid w:val="00385669"/>
    <w:rsid w:val="003A669D"/>
    <w:rsid w:val="003C1376"/>
    <w:rsid w:val="003C4989"/>
    <w:rsid w:val="003D20AA"/>
    <w:rsid w:val="003E6335"/>
    <w:rsid w:val="003F0EB9"/>
    <w:rsid w:val="00401750"/>
    <w:rsid w:val="00401D26"/>
    <w:rsid w:val="00437746"/>
    <w:rsid w:val="00492A57"/>
    <w:rsid w:val="004B4CA0"/>
    <w:rsid w:val="004C1243"/>
    <w:rsid w:val="004D332A"/>
    <w:rsid w:val="004E7357"/>
    <w:rsid w:val="004F3F4A"/>
    <w:rsid w:val="00555718"/>
    <w:rsid w:val="00590C62"/>
    <w:rsid w:val="0059431C"/>
    <w:rsid w:val="005D0785"/>
    <w:rsid w:val="005E5D34"/>
    <w:rsid w:val="00626241"/>
    <w:rsid w:val="00633E8C"/>
    <w:rsid w:val="006577A9"/>
    <w:rsid w:val="00657D59"/>
    <w:rsid w:val="00667898"/>
    <w:rsid w:val="006916E2"/>
    <w:rsid w:val="00696E98"/>
    <w:rsid w:val="006A71FC"/>
    <w:rsid w:val="006B246A"/>
    <w:rsid w:val="006F5297"/>
    <w:rsid w:val="007209DF"/>
    <w:rsid w:val="0075669E"/>
    <w:rsid w:val="007672B5"/>
    <w:rsid w:val="0078697C"/>
    <w:rsid w:val="007949B9"/>
    <w:rsid w:val="007D4FC9"/>
    <w:rsid w:val="00817B88"/>
    <w:rsid w:val="008249E2"/>
    <w:rsid w:val="00827B61"/>
    <w:rsid w:val="00835D09"/>
    <w:rsid w:val="00864F6A"/>
    <w:rsid w:val="008965D4"/>
    <w:rsid w:val="00900E6C"/>
    <w:rsid w:val="00906182"/>
    <w:rsid w:val="00911924"/>
    <w:rsid w:val="00921069"/>
    <w:rsid w:val="009244ED"/>
    <w:rsid w:val="00927DED"/>
    <w:rsid w:val="00932422"/>
    <w:rsid w:val="00956E18"/>
    <w:rsid w:val="00985BA6"/>
    <w:rsid w:val="00A0064A"/>
    <w:rsid w:val="00A068E6"/>
    <w:rsid w:val="00A1487A"/>
    <w:rsid w:val="00A22595"/>
    <w:rsid w:val="00A51637"/>
    <w:rsid w:val="00A84B35"/>
    <w:rsid w:val="00AB70A9"/>
    <w:rsid w:val="00AC21C8"/>
    <w:rsid w:val="00AD304F"/>
    <w:rsid w:val="00AE55B7"/>
    <w:rsid w:val="00AE698D"/>
    <w:rsid w:val="00AF5E97"/>
    <w:rsid w:val="00B17F35"/>
    <w:rsid w:val="00B35639"/>
    <w:rsid w:val="00B445A2"/>
    <w:rsid w:val="00B53D5B"/>
    <w:rsid w:val="00B75F3A"/>
    <w:rsid w:val="00B82100"/>
    <w:rsid w:val="00B97487"/>
    <w:rsid w:val="00BC28D3"/>
    <w:rsid w:val="00BC32AE"/>
    <w:rsid w:val="00C15C1F"/>
    <w:rsid w:val="00C348C4"/>
    <w:rsid w:val="00C544A2"/>
    <w:rsid w:val="00C65CC1"/>
    <w:rsid w:val="00C8006A"/>
    <w:rsid w:val="00C91515"/>
    <w:rsid w:val="00CB5733"/>
    <w:rsid w:val="00CD1792"/>
    <w:rsid w:val="00D03F85"/>
    <w:rsid w:val="00D1076E"/>
    <w:rsid w:val="00D10E06"/>
    <w:rsid w:val="00D13DE0"/>
    <w:rsid w:val="00D471C9"/>
    <w:rsid w:val="00D80338"/>
    <w:rsid w:val="00D92E8D"/>
    <w:rsid w:val="00D94A5E"/>
    <w:rsid w:val="00DA2071"/>
    <w:rsid w:val="00DC37C7"/>
    <w:rsid w:val="00DC68F7"/>
    <w:rsid w:val="00DE2024"/>
    <w:rsid w:val="00DF4999"/>
    <w:rsid w:val="00DF7A99"/>
    <w:rsid w:val="00E01B70"/>
    <w:rsid w:val="00E073CF"/>
    <w:rsid w:val="00E221B0"/>
    <w:rsid w:val="00E576CD"/>
    <w:rsid w:val="00E61FB2"/>
    <w:rsid w:val="00E621CE"/>
    <w:rsid w:val="00E73615"/>
    <w:rsid w:val="00E979B6"/>
    <w:rsid w:val="00EA5247"/>
    <w:rsid w:val="00EB2BB9"/>
    <w:rsid w:val="00F139B4"/>
    <w:rsid w:val="00F166AA"/>
    <w:rsid w:val="00F549B4"/>
    <w:rsid w:val="00F55273"/>
    <w:rsid w:val="00F9694E"/>
    <w:rsid w:val="00FB1A10"/>
    <w:rsid w:val="00FD1E94"/>
    <w:rsid w:val="00FF085E"/>
    <w:rsid w:val="00FF3F03"/>
    <w:rsid w:val="05BA2412"/>
    <w:rsid w:val="09915CEB"/>
    <w:rsid w:val="17F56A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Hyperlink"/>
    <w:basedOn w:val="5"/>
    <w:unhideWhenUsed/>
    <w:qFormat/>
    <w:uiPriority w:val="99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semiHidden/>
    <w:uiPriority w:val="99"/>
    <w:rPr>
      <w:sz w:val="18"/>
      <w:szCs w:val="18"/>
    </w:rPr>
  </w:style>
  <w:style w:type="paragraph" w:customStyle="1" w:styleId="12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绝地武士</Company>
  <Pages>2</Pages>
  <Words>144</Words>
  <Characters>823</Characters>
  <Lines>6</Lines>
  <Paragraphs>1</Paragraphs>
  <TotalTime>151</TotalTime>
  <ScaleCrop>false</ScaleCrop>
  <LinksUpToDate>false</LinksUpToDate>
  <CharactersWithSpaces>966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2017-09-06T06:59:00Z</dcterms:created>
  <dc:creator>恶鱼</dc:creator>
  <cp:lastModifiedBy>jdsxy-001</cp:lastModifiedBy>
  <cp:lastPrinted>2016-09-29T03:36:00Z</cp:lastPrinted>
  <dcterms:modified xsi:type="dcterms:W3CDTF">2018-09-21T01:11:47Z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